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CE" w:rsidRPr="00BF67FC" w:rsidRDefault="00017ACE" w:rsidP="00017ACE">
      <w:pPr>
        <w:pStyle w:val="Nadpis2"/>
        <w:ind w:left="-851" w:right="-851"/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BF67FC">
        <w:rPr>
          <w:rFonts w:ascii="Microsoft Sans Serif" w:hAnsi="Microsoft Sans Serif" w:cs="Microsoft Sans Serif"/>
          <w:sz w:val="28"/>
          <w:szCs w:val="28"/>
          <w:u w:val="single"/>
        </w:rPr>
        <w:t>Návod k montáži</w:t>
      </w:r>
    </w:p>
    <w:p w:rsidR="00017ACE" w:rsidRDefault="00017ACE" w:rsidP="00017ACE">
      <w:pPr>
        <w:rPr>
          <w:rFonts w:ascii="Microsoft Sans Serif" w:hAnsi="Microsoft Sans Serif" w:cs="Microsoft Sans Serif"/>
          <w:b/>
        </w:rPr>
      </w:pPr>
    </w:p>
    <w:p w:rsidR="00017ACE" w:rsidRDefault="00017ACE" w:rsidP="00017ACE">
      <w:pPr>
        <w:rPr>
          <w:rFonts w:ascii="Microsoft Sans Serif" w:hAnsi="Microsoft Sans Serif" w:cs="Microsoft Sans Serif"/>
          <w:b/>
        </w:rPr>
      </w:pPr>
    </w:p>
    <w:p w:rsidR="00017ACE" w:rsidRPr="000C3505" w:rsidRDefault="00017ACE" w:rsidP="00017ACE">
      <w:pPr>
        <w:numPr>
          <w:ilvl w:val="0"/>
          <w:numId w:val="4"/>
        </w:numPr>
        <w:rPr>
          <w:rFonts w:ascii="Microsoft Sans Serif" w:hAnsi="Microsoft Sans Serif" w:cs="Microsoft Sans Serif"/>
          <w:b/>
        </w:rPr>
      </w:pPr>
      <w:r w:rsidRPr="000C3505">
        <w:rPr>
          <w:rFonts w:ascii="Microsoft Sans Serif" w:hAnsi="Microsoft Sans Serif" w:cs="Microsoft Sans Serif"/>
          <w:b/>
        </w:rPr>
        <w:t xml:space="preserve">Pevné připojení těles na stěnu (viz. </w:t>
      </w:r>
      <w:proofErr w:type="gramStart"/>
      <w:r w:rsidRPr="000C3505">
        <w:rPr>
          <w:rFonts w:ascii="Microsoft Sans Serif" w:hAnsi="Microsoft Sans Serif" w:cs="Microsoft Sans Serif"/>
          <w:b/>
        </w:rPr>
        <w:t>vyobrazení</w:t>
      </w:r>
      <w:proofErr w:type="gramEnd"/>
      <w:r w:rsidRPr="000C3505">
        <w:rPr>
          <w:rFonts w:ascii="Microsoft Sans Serif" w:hAnsi="Microsoft Sans Serif" w:cs="Microsoft Sans Serif"/>
          <w:b/>
        </w:rPr>
        <w:t xml:space="preserve"> postupu 1 – 4)</w:t>
      </w:r>
    </w:p>
    <w:p w:rsidR="00017ACE" w:rsidRDefault="00017ACE" w:rsidP="00017ACE">
      <w:pPr>
        <w:pStyle w:val="Zkladntext3"/>
        <w:ind w:left="708"/>
        <w:rPr>
          <w:rFonts w:ascii="Microsoft Sans Serif" w:hAnsi="Microsoft Sans Serif" w:cs="Microsoft Sans Serif"/>
          <w:sz w:val="20"/>
        </w:rPr>
      </w:pPr>
      <w:proofErr w:type="gramStart"/>
      <w:r w:rsidRPr="000C3505">
        <w:rPr>
          <w:rFonts w:ascii="Microsoft Sans Serif" w:hAnsi="Microsoft Sans Serif" w:cs="Microsoft Sans Serif"/>
          <w:sz w:val="20"/>
        </w:rPr>
        <w:t>splňuje  požadavky</w:t>
      </w:r>
      <w:proofErr w:type="gramEnd"/>
      <w:r w:rsidRPr="000C3505">
        <w:rPr>
          <w:rFonts w:ascii="Microsoft Sans Serif" w:hAnsi="Microsoft Sans Serif" w:cs="Microsoft Sans Serif"/>
          <w:sz w:val="20"/>
        </w:rPr>
        <w:t xml:space="preserve"> pro získání </w:t>
      </w:r>
      <w:proofErr w:type="spellStart"/>
      <w:r w:rsidRPr="000C3505">
        <w:rPr>
          <w:rFonts w:ascii="Microsoft Sans Serif" w:hAnsi="Microsoft Sans Serif" w:cs="Microsoft Sans Serif"/>
          <w:sz w:val="20"/>
        </w:rPr>
        <w:t>dvoutarifové</w:t>
      </w:r>
      <w:proofErr w:type="spellEnd"/>
      <w:r w:rsidRPr="000C3505">
        <w:rPr>
          <w:rFonts w:ascii="Microsoft Sans Serif" w:hAnsi="Microsoft Sans Serif" w:cs="Microsoft Sans Serif"/>
          <w:sz w:val="20"/>
        </w:rPr>
        <w:t xml:space="preserve"> sazby s operativním řízením doby platnosti nízkého tarifu po dobu 20 hodin (sazby D45d, C45c). Povoleno umístění v koupelně, krytí IPX</w:t>
      </w:r>
      <w:r>
        <w:rPr>
          <w:rFonts w:ascii="Microsoft Sans Serif" w:hAnsi="Microsoft Sans Serif" w:cs="Microsoft Sans Serif"/>
          <w:sz w:val="20"/>
        </w:rPr>
        <w:t>4</w:t>
      </w:r>
      <w:r w:rsidRPr="000C3505">
        <w:rPr>
          <w:rFonts w:ascii="Microsoft Sans Serif" w:hAnsi="Microsoft Sans Serif" w:cs="Microsoft Sans Serif"/>
          <w:sz w:val="20"/>
        </w:rPr>
        <w:t>,</w:t>
      </w:r>
      <w:r>
        <w:rPr>
          <w:rFonts w:ascii="Microsoft Sans Serif" w:hAnsi="Microsoft Sans Serif" w:cs="Microsoft Sans Serif"/>
          <w:sz w:val="20"/>
        </w:rPr>
        <w:t xml:space="preserve"> </w:t>
      </w:r>
      <w:r w:rsidRPr="000C3505">
        <w:rPr>
          <w:rFonts w:ascii="Microsoft Sans Serif" w:hAnsi="Microsoft Sans Serif" w:cs="Microsoft Sans Serif"/>
          <w:sz w:val="20"/>
        </w:rPr>
        <w:t>dle ČSN 332000-7-701.</w:t>
      </w:r>
    </w:p>
    <w:p w:rsidR="00017ACE" w:rsidRPr="00BD75B5" w:rsidRDefault="00017ACE" w:rsidP="00017ACE">
      <w:pPr>
        <w:pStyle w:val="Zkladntext3"/>
        <w:numPr>
          <w:ilvl w:val="0"/>
          <w:numId w:val="4"/>
        </w:numPr>
        <w:spacing w:after="0"/>
        <w:rPr>
          <w:rFonts w:ascii="Microsoft Sans Serif" w:hAnsi="Microsoft Sans Serif" w:cs="Microsoft Sans Serif"/>
          <w:b/>
          <w:sz w:val="2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67945</wp:posOffset>
            </wp:positionV>
            <wp:extent cx="4352925" cy="1943100"/>
            <wp:effectExtent l="19050" t="0" r="9525" b="0"/>
            <wp:wrapTopAndBottom/>
            <wp:docPr id="2" name="obrázek 2" descr="Montá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áž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505">
        <w:rPr>
          <w:rFonts w:ascii="Microsoft Sans Serif" w:hAnsi="Microsoft Sans Serif" w:cs="Microsoft Sans Serif"/>
          <w:b/>
          <w:sz w:val="20"/>
        </w:rPr>
        <w:t xml:space="preserve">Volné připojení těles – </w:t>
      </w:r>
      <w:r w:rsidRPr="000C3505">
        <w:rPr>
          <w:rFonts w:ascii="Microsoft Sans Serif" w:hAnsi="Microsoft Sans Serif" w:cs="Microsoft Sans Serif"/>
          <w:sz w:val="20"/>
        </w:rPr>
        <w:t xml:space="preserve">radiátory </w:t>
      </w:r>
      <w:r>
        <w:rPr>
          <w:rFonts w:ascii="Microsoft Sans Serif" w:hAnsi="Microsoft Sans Serif" w:cs="Microsoft Sans Serif"/>
          <w:sz w:val="20"/>
        </w:rPr>
        <w:t>můžete mít</w:t>
      </w:r>
      <w:r w:rsidRPr="000C3505">
        <w:rPr>
          <w:rFonts w:ascii="Microsoft Sans Serif" w:hAnsi="Microsoft Sans Serif" w:cs="Microsoft Sans Serif"/>
          <w:sz w:val="20"/>
        </w:rPr>
        <w:t xml:space="preserve"> na stojanech s</w:t>
      </w:r>
      <w:r>
        <w:rPr>
          <w:rFonts w:ascii="Microsoft Sans Serif" w:hAnsi="Microsoft Sans Serif" w:cs="Microsoft Sans Serif"/>
          <w:sz w:val="20"/>
        </w:rPr>
        <w:t xml:space="preserve"> odnímatelnými </w:t>
      </w:r>
      <w:r w:rsidRPr="000C3505">
        <w:rPr>
          <w:rFonts w:ascii="Microsoft Sans Serif" w:hAnsi="Microsoft Sans Serif" w:cs="Microsoft Sans Serif"/>
          <w:sz w:val="20"/>
        </w:rPr>
        <w:t>kolečky</w:t>
      </w:r>
      <w:r>
        <w:rPr>
          <w:rFonts w:ascii="Microsoft Sans Serif" w:hAnsi="Microsoft Sans Serif" w:cs="Microsoft Sans Serif"/>
          <w:sz w:val="20"/>
        </w:rPr>
        <w:t>.</w:t>
      </w:r>
      <w:r w:rsidRPr="000C3505">
        <w:rPr>
          <w:rFonts w:ascii="Microsoft Sans Serif" w:hAnsi="Microsoft Sans Serif" w:cs="Microsoft Sans Serif"/>
          <w:sz w:val="20"/>
        </w:rPr>
        <w:t xml:space="preserve"> </w:t>
      </w:r>
      <w:r>
        <w:rPr>
          <w:rFonts w:ascii="Microsoft Sans Serif" w:hAnsi="Microsoft Sans Serif" w:cs="Microsoft Sans Serif"/>
          <w:sz w:val="20"/>
        </w:rPr>
        <w:t>J</w:t>
      </w:r>
      <w:r w:rsidRPr="000C3505">
        <w:rPr>
          <w:rFonts w:ascii="Microsoft Sans Serif" w:hAnsi="Microsoft Sans Serif" w:cs="Microsoft Sans Serif"/>
          <w:sz w:val="20"/>
        </w:rPr>
        <w:t xml:space="preserve">e možné je přemisťovat </w:t>
      </w:r>
      <w:r>
        <w:rPr>
          <w:rFonts w:ascii="Microsoft Sans Serif" w:hAnsi="Microsoft Sans Serif" w:cs="Microsoft Sans Serif"/>
          <w:sz w:val="20"/>
        </w:rPr>
        <w:t xml:space="preserve">díky </w:t>
      </w:r>
      <w:r w:rsidRPr="000C3505">
        <w:rPr>
          <w:rFonts w:ascii="Microsoft Sans Serif" w:hAnsi="Microsoft Sans Serif" w:cs="Microsoft Sans Serif"/>
          <w:sz w:val="20"/>
        </w:rPr>
        <w:t>vnější</w:t>
      </w:r>
      <w:r>
        <w:rPr>
          <w:rFonts w:ascii="Microsoft Sans Serif" w:hAnsi="Microsoft Sans Serif" w:cs="Microsoft Sans Serif"/>
          <w:sz w:val="20"/>
        </w:rPr>
        <w:t>mu</w:t>
      </w:r>
      <w:r w:rsidRPr="000C3505">
        <w:rPr>
          <w:rFonts w:ascii="Microsoft Sans Serif" w:hAnsi="Microsoft Sans Serif" w:cs="Microsoft Sans Serif"/>
          <w:sz w:val="20"/>
        </w:rPr>
        <w:t xml:space="preserve"> kabelové</w:t>
      </w:r>
      <w:r>
        <w:rPr>
          <w:rFonts w:ascii="Microsoft Sans Serif" w:hAnsi="Microsoft Sans Serif" w:cs="Microsoft Sans Serif"/>
          <w:sz w:val="20"/>
        </w:rPr>
        <w:t>mu</w:t>
      </w:r>
      <w:r w:rsidRPr="000C3505">
        <w:rPr>
          <w:rFonts w:ascii="Microsoft Sans Serif" w:hAnsi="Microsoft Sans Serif" w:cs="Microsoft Sans Serif"/>
          <w:sz w:val="20"/>
        </w:rPr>
        <w:t xml:space="preserve"> připojení </w:t>
      </w:r>
      <w:r>
        <w:rPr>
          <w:rFonts w:ascii="Microsoft Sans Serif" w:hAnsi="Microsoft Sans Serif" w:cs="Microsoft Sans Serif"/>
          <w:sz w:val="20"/>
        </w:rPr>
        <w:t>a</w:t>
      </w:r>
      <w:r w:rsidRPr="000C3505">
        <w:rPr>
          <w:rFonts w:ascii="Microsoft Sans Serif" w:hAnsi="Microsoft Sans Serif" w:cs="Microsoft Sans Serif"/>
          <w:sz w:val="20"/>
        </w:rPr>
        <w:t xml:space="preserve"> mobilní</w:t>
      </w:r>
      <w:r>
        <w:rPr>
          <w:rFonts w:ascii="Microsoft Sans Serif" w:hAnsi="Microsoft Sans Serif" w:cs="Microsoft Sans Serif"/>
          <w:sz w:val="20"/>
        </w:rPr>
        <w:t>mu</w:t>
      </w:r>
      <w:r w:rsidRPr="000C3505">
        <w:rPr>
          <w:rFonts w:ascii="Microsoft Sans Serif" w:hAnsi="Microsoft Sans Serif" w:cs="Microsoft Sans Serif"/>
          <w:sz w:val="20"/>
        </w:rPr>
        <w:t xml:space="preserve"> termostat</w:t>
      </w:r>
      <w:r>
        <w:rPr>
          <w:rFonts w:ascii="Microsoft Sans Serif" w:hAnsi="Microsoft Sans Serif" w:cs="Microsoft Sans Serif"/>
          <w:sz w:val="20"/>
        </w:rPr>
        <w:t>u</w:t>
      </w:r>
      <w:r w:rsidRPr="000C3505">
        <w:rPr>
          <w:rFonts w:ascii="Microsoft Sans Serif" w:hAnsi="Microsoft Sans Serif" w:cs="Microsoft Sans Serif"/>
          <w:sz w:val="20"/>
        </w:rPr>
        <w:t xml:space="preserve"> do zásuvky. </w:t>
      </w:r>
    </w:p>
    <w:p w:rsidR="00017ACE" w:rsidRPr="000C3505" w:rsidRDefault="00017ACE" w:rsidP="00017ACE">
      <w:pPr>
        <w:pStyle w:val="Zkladntext3"/>
        <w:ind w:firstLine="708"/>
        <w:rPr>
          <w:rFonts w:ascii="Microsoft Sans Serif" w:hAnsi="Microsoft Sans Serif" w:cs="Microsoft Sans Serif"/>
          <w:b/>
          <w:sz w:val="20"/>
        </w:rPr>
      </w:pPr>
      <w:r w:rsidRPr="000C3505">
        <w:rPr>
          <w:rFonts w:ascii="Microsoft Sans Serif" w:hAnsi="Microsoft Sans Serif" w:cs="Microsoft Sans Serif"/>
          <w:sz w:val="20"/>
        </w:rPr>
        <w:t>Volně připojené radiátory se ne</w:t>
      </w:r>
      <w:r>
        <w:rPr>
          <w:rFonts w:ascii="Microsoft Sans Serif" w:hAnsi="Microsoft Sans Serif" w:cs="Microsoft Sans Serif"/>
          <w:sz w:val="20"/>
        </w:rPr>
        <w:t>n</w:t>
      </w:r>
      <w:r w:rsidRPr="000C3505">
        <w:rPr>
          <w:rFonts w:ascii="Microsoft Sans Serif" w:hAnsi="Microsoft Sans Serif" w:cs="Microsoft Sans Serif"/>
          <w:sz w:val="20"/>
        </w:rPr>
        <w:t xml:space="preserve">í </w:t>
      </w:r>
      <w:r>
        <w:rPr>
          <w:rFonts w:ascii="Microsoft Sans Serif" w:hAnsi="Microsoft Sans Serif" w:cs="Microsoft Sans Serif"/>
          <w:sz w:val="20"/>
        </w:rPr>
        <w:t>povoleno instalovat</w:t>
      </w:r>
      <w:r w:rsidRPr="000C3505">
        <w:rPr>
          <w:rFonts w:ascii="Microsoft Sans Serif" w:hAnsi="Microsoft Sans Serif" w:cs="Microsoft Sans Serif"/>
          <w:sz w:val="20"/>
        </w:rPr>
        <w:t xml:space="preserve"> v koupelnách.</w:t>
      </w:r>
    </w:p>
    <w:p w:rsidR="00017ACE" w:rsidRDefault="00017ACE" w:rsidP="00017ACE"/>
    <w:p w:rsidR="00017ACE" w:rsidRDefault="00017ACE" w:rsidP="00017ACE">
      <w:pPr>
        <w:pStyle w:val="Textvbloku"/>
        <w:ind w:firstLine="851"/>
        <w:rPr>
          <w:rFonts w:ascii="Microsoft Sans Serif" w:hAnsi="Microsoft Sans Serif" w:cs="Microsoft Sans Serif"/>
        </w:rPr>
      </w:pPr>
      <w:r w:rsidRPr="000C3505">
        <w:rPr>
          <w:rFonts w:ascii="Microsoft Sans Serif" w:hAnsi="Microsoft Sans Serif" w:cs="Microsoft Sans Serif"/>
        </w:rPr>
        <w:t xml:space="preserve">Důležité!  </w:t>
      </w:r>
    </w:p>
    <w:p w:rsidR="00017ACE" w:rsidRPr="000C3505" w:rsidRDefault="00017ACE" w:rsidP="00017ACE">
      <w:pPr>
        <w:pStyle w:val="Textvbloku"/>
        <w:ind w:left="0"/>
        <w:rPr>
          <w:rFonts w:ascii="Microsoft Sans Serif" w:hAnsi="Microsoft Sans Serif" w:cs="Microsoft Sans Serif"/>
        </w:rPr>
      </w:pPr>
      <w:r w:rsidRPr="000C3505">
        <w:rPr>
          <w:rFonts w:ascii="Microsoft Sans Serif" w:hAnsi="Microsoft Sans Serif" w:cs="Microsoft Sans Serif"/>
        </w:rPr>
        <w:t xml:space="preserve">Každý radiátor, či místnost, kde jsou radiátory instalovány, musí být </w:t>
      </w:r>
      <w:proofErr w:type="gramStart"/>
      <w:r w:rsidRPr="000C3505">
        <w:rPr>
          <w:rFonts w:ascii="Microsoft Sans Serif" w:hAnsi="Microsoft Sans Serif" w:cs="Microsoft Sans Serif"/>
        </w:rPr>
        <w:t>regulován(a) prostorovým</w:t>
      </w:r>
      <w:proofErr w:type="gramEnd"/>
      <w:r w:rsidRPr="000C3505">
        <w:rPr>
          <w:rFonts w:ascii="Microsoft Sans Serif" w:hAnsi="Microsoft Sans Serif" w:cs="Microsoft Sans Serif"/>
        </w:rPr>
        <w:t xml:space="preserve"> termostatem. Instalace radiátoru bez regulace není přípustná.</w:t>
      </w:r>
    </w:p>
    <w:p w:rsidR="00017ACE" w:rsidRDefault="00017ACE" w:rsidP="00017ACE">
      <w:pPr>
        <w:pStyle w:val="Nadpis1"/>
        <w:ind w:left="-851" w:right="-851"/>
        <w:rPr>
          <w:rFonts w:ascii="Microsoft Sans Serif" w:hAnsi="Microsoft Sans Serif" w:cs="Microsoft Sans Serif"/>
          <w:b w:val="0"/>
        </w:rPr>
      </w:pPr>
    </w:p>
    <w:p w:rsidR="00017ACE" w:rsidRPr="009331F5" w:rsidRDefault="00017ACE" w:rsidP="00017ACE"/>
    <w:p w:rsidR="00017ACE" w:rsidRDefault="00017ACE" w:rsidP="00017ACE">
      <w:pPr>
        <w:pStyle w:val="Nadpis1"/>
        <w:ind w:left="-851" w:right="-851" w:firstLine="720"/>
        <w:rPr>
          <w:rFonts w:ascii="Microsoft Sans Serif" w:hAnsi="Microsoft Sans Serif" w:cs="Microsoft Sans Serif"/>
          <w:b w:val="0"/>
        </w:rPr>
      </w:pPr>
      <w:r w:rsidRPr="000C3505">
        <w:rPr>
          <w:rFonts w:ascii="Microsoft Sans Serif" w:hAnsi="Microsoft Sans Serif" w:cs="Microsoft Sans Serif"/>
          <w:b w:val="0"/>
        </w:rPr>
        <w:t>Všeobecné pokyny</w:t>
      </w:r>
      <w:r>
        <w:rPr>
          <w:rFonts w:ascii="Microsoft Sans Serif" w:hAnsi="Microsoft Sans Serif" w:cs="Microsoft Sans Serif"/>
          <w:b w:val="0"/>
        </w:rPr>
        <w:t>:</w:t>
      </w:r>
    </w:p>
    <w:p w:rsidR="00017ACE" w:rsidRDefault="00017ACE" w:rsidP="00017ACE"/>
    <w:p w:rsidR="00017ACE" w:rsidRPr="009331F5" w:rsidRDefault="00017ACE" w:rsidP="00017ACE"/>
    <w:p w:rsidR="00017ACE" w:rsidRPr="000C3505" w:rsidRDefault="00017ACE" w:rsidP="00017ACE">
      <w:pPr>
        <w:numPr>
          <w:ilvl w:val="0"/>
          <w:numId w:val="2"/>
        </w:numPr>
        <w:ind w:right="-851"/>
        <w:rPr>
          <w:rFonts w:ascii="Microsoft Sans Serif" w:hAnsi="Microsoft Sans Serif" w:cs="Microsoft Sans Serif"/>
        </w:rPr>
      </w:pPr>
      <w:r w:rsidRPr="000C3505">
        <w:rPr>
          <w:rFonts w:ascii="Microsoft Sans Serif" w:hAnsi="Microsoft Sans Serif" w:cs="Microsoft Sans Serif"/>
        </w:rPr>
        <w:t xml:space="preserve">Instalaci topných </w:t>
      </w:r>
      <w:r>
        <w:rPr>
          <w:rFonts w:ascii="Microsoft Sans Serif" w:hAnsi="Microsoft Sans Serif" w:cs="Microsoft Sans Serif"/>
        </w:rPr>
        <w:t>panelů</w:t>
      </w:r>
      <w:r w:rsidRPr="000C3505">
        <w:rPr>
          <w:rFonts w:ascii="Microsoft Sans Serif" w:hAnsi="Microsoft Sans Serif" w:cs="Microsoft Sans Serif"/>
        </w:rPr>
        <w:t xml:space="preserve"> smí provádět pouze odborník z oboru </w:t>
      </w:r>
      <w:proofErr w:type="spellStart"/>
      <w:r w:rsidRPr="000C3505">
        <w:rPr>
          <w:rFonts w:ascii="Microsoft Sans Serif" w:hAnsi="Microsoft Sans Serif" w:cs="Microsoft Sans Serif"/>
        </w:rPr>
        <w:t>elektro</w:t>
      </w:r>
      <w:proofErr w:type="spellEnd"/>
      <w:r w:rsidRPr="000C3505">
        <w:rPr>
          <w:rFonts w:ascii="Microsoft Sans Serif" w:hAnsi="Microsoft Sans Serif" w:cs="Microsoft Sans Serif"/>
        </w:rPr>
        <w:t xml:space="preserve"> (dle </w:t>
      </w:r>
      <w:proofErr w:type="spellStart"/>
      <w:r w:rsidRPr="000C3505">
        <w:rPr>
          <w:rFonts w:ascii="Microsoft Sans Serif" w:hAnsi="Microsoft Sans Serif" w:cs="Microsoft Sans Serif"/>
        </w:rPr>
        <w:t>vyhl</w:t>
      </w:r>
      <w:proofErr w:type="spellEnd"/>
      <w:r w:rsidRPr="000C3505">
        <w:rPr>
          <w:rFonts w:ascii="Microsoft Sans Serif" w:hAnsi="Microsoft Sans Serif" w:cs="Microsoft Sans Serif"/>
        </w:rPr>
        <w:t>. 50/1978 Sb.).</w:t>
      </w:r>
    </w:p>
    <w:p w:rsidR="00017ACE" w:rsidRDefault="00017ACE" w:rsidP="00017ACE">
      <w:pPr>
        <w:ind w:left="-491" w:right="-851"/>
        <w:rPr>
          <w:rFonts w:ascii="Microsoft Sans Serif" w:hAnsi="Microsoft Sans Serif" w:cs="Microsoft Sans Serif"/>
        </w:rPr>
      </w:pPr>
    </w:p>
    <w:p w:rsidR="00017ACE" w:rsidRPr="000C3505" w:rsidRDefault="00017ACE" w:rsidP="00017ACE">
      <w:pPr>
        <w:numPr>
          <w:ilvl w:val="0"/>
          <w:numId w:val="2"/>
        </w:numPr>
        <w:ind w:right="-851"/>
        <w:rPr>
          <w:rFonts w:ascii="Microsoft Sans Serif" w:hAnsi="Microsoft Sans Serif" w:cs="Microsoft Sans Serif"/>
        </w:rPr>
      </w:pPr>
      <w:r w:rsidRPr="000C3505">
        <w:rPr>
          <w:rFonts w:ascii="Microsoft Sans Serif" w:hAnsi="Microsoft Sans Serif" w:cs="Microsoft Sans Serif"/>
        </w:rPr>
        <w:t>Je třeba respektovat příslušné předpisy pro instalaci (ČSN 332130, ČSN 332000-4-41, ČSN 332000-5-525).</w:t>
      </w:r>
    </w:p>
    <w:p w:rsidR="00017ACE" w:rsidRDefault="00017ACE" w:rsidP="00017ACE">
      <w:pPr>
        <w:ind w:left="-491" w:right="-851"/>
        <w:rPr>
          <w:rFonts w:ascii="Microsoft Sans Serif" w:hAnsi="Microsoft Sans Serif" w:cs="Microsoft Sans Serif"/>
        </w:rPr>
      </w:pPr>
    </w:p>
    <w:p w:rsidR="00017ACE" w:rsidRPr="000C3505" w:rsidRDefault="00017ACE" w:rsidP="00017ACE">
      <w:pPr>
        <w:numPr>
          <w:ilvl w:val="0"/>
          <w:numId w:val="2"/>
        </w:numPr>
        <w:ind w:right="-851"/>
        <w:rPr>
          <w:rFonts w:ascii="Microsoft Sans Serif" w:hAnsi="Microsoft Sans Serif" w:cs="Microsoft Sans Serif"/>
        </w:rPr>
      </w:pPr>
      <w:r w:rsidRPr="000C3505">
        <w:rPr>
          <w:rFonts w:ascii="Microsoft Sans Serif" w:hAnsi="Microsoft Sans Serif" w:cs="Microsoft Sans Serif"/>
        </w:rPr>
        <w:t xml:space="preserve">Topné </w:t>
      </w:r>
      <w:r>
        <w:rPr>
          <w:rFonts w:ascii="Microsoft Sans Serif" w:hAnsi="Microsoft Sans Serif" w:cs="Microsoft Sans Serif"/>
        </w:rPr>
        <w:t>panely</w:t>
      </w:r>
      <w:r w:rsidRPr="000C3505">
        <w:rPr>
          <w:rFonts w:ascii="Microsoft Sans Serif" w:hAnsi="Microsoft Sans Serif" w:cs="Microsoft Sans Serif"/>
        </w:rPr>
        <w:t xml:space="preserve"> se nesmí montovat v bezprostřední blízkosti hořlavých látek a v prostorech, pro k</w:t>
      </w:r>
      <w:r>
        <w:rPr>
          <w:rFonts w:ascii="Microsoft Sans Serif" w:hAnsi="Microsoft Sans Serif" w:cs="Microsoft Sans Serif"/>
        </w:rPr>
        <w:t xml:space="preserve">teré neodpovídá krytí </w:t>
      </w:r>
      <w:proofErr w:type="gramStart"/>
      <w:r>
        <w:rPr>
          <w:rFonts w:ascii="Microsoft Sans Serif" w:hAnsi="Microsoft Sans Serif" w:cs="Microsoft Sans Serif"/>
        </w:rPr>
        <w:t>přístroje ( krytí</w:t>
      </w:r>
      <w:proofErr w:type="gramEnd"/>
      <w:r>
        <w:rPr>
          <w:rFonts w:ascii="Microsoft Sans Serif" w:hAnsi="Microsoft Sans Serif" w:cs="Microsoft Sans Serif"/>
        </w:rPr>
        <w:t xml:space="preserve"> IPX4 )</w:t>
      </w:r>
    </w:p>
    <w:p w:rsidR="00017ACE" w:rsidRDefault="00017ACE" w:rsidP="00017ACE">
      <w:pPr>
        <w:ind w:left="-491" w:right="-851"/>
        <w:rPr>
          <w:rFonts w:ascii="Microsoft Sans Serif" w:hAnsi="Microsoft Sans Serif" w:cs="Microsoft Sans Serif"/>
        </w:rPr>
      </w:pPr>
    </w:p>
    <w:p w:rsidR="00017ACE" w:rsidRPr="000C3505" w:rsidRDefault="00017ACE" w:rsidP="00017ACE">
      <w:pPr>
        <w:numPr>
          <w:ilvl w:val="0"/>
          <w:numId w:val="2"/>
        </w:numPr>
        <w:ind w:right="-85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Topný panel je oboustranný, tzn., že zadní i přední strana je stejná. Zařízení pro el. </w:t>
      </w:r>
      <w:proofErr w:type="gramStart"/>
      <w:r>
        <w:rPr>
          <w:rFonts w:ascii="Microsoft Sans Serif" w:hAnsi="Microsoft Sans Serif" w:cs="Microsoft Sans Serif"/>
        </w:rPr>
        <w:t>připojení</w:t>
      </w:r>
      <w:proofErr w:type="gramEnd"/>
      <w:r>
        <w:rPr>
          <w:rFonts w:ascii="Microsoft Sans Serif" w:hAnsi="Microsoft Sans Serif" w:cs="Microsoft Sans Serif"/>
        </w:rPr>
        <w:t xml:space="preserve"> je pod boční lištou panelu. Boční lišta pro připojení je ta, na které jsou nalepeny etikety. Radiátor instalujte do takové polohy, aby jeho boční lišta s etiketami byla co nejblíže přípojné krabice. </w:t>
      </w:r>
    </w:p>
    <w:p w:rsidR="00017ACE" w:rsidRDefault="00017ACE" w:rsidP="00017ACE">
      <w:pPr>
        <w:pStyle w:val="Zkladntext"/>
        <w:ind w:left="-491" w:right="-851"/>
        <w:jc w:val="left"/>
        <w:rPr>
          <w:rFonts w:ascii="Microsoft Sans Serif" w:hAnsi="Microsoft Sans Serif" w:cs="Microsoft Sans Serif"/>
        </w:rPr>
      </w:pPr>
    </w:p>
    <w:p w:rsidR="00017ACE" w:rsidRPr="000C3505" w:rsidRDefault="00017ACE" w:rsidP="00017ACE">
      <w:pPr>
        <w:pStyle w:val="Zkladntext"/>
        <w:numPr>
          <w:ilvl w:val="0"/>
          <w:numId w:val="3"/>
        </w:numPr>
        <w:ind w:right="-851"/>
        <w:jc w:val="left"/>
        <w:rPr>
          <w:rFonts w:ascii="Microsoft Sans Serif" w:hAnsi="Microsoft Sans Serif" w:cs="Microsoft Sans Serif"/>
        </w:rPr>
      </w:pPr>
      <w:r w:rsidRPr="000C3505">
        <w:rPr>
          <w:rFonts w:ascii="Microsoft Sans Serif" w:hAnsi="Microsoft Sans Serif" w:cs="Microsoft Sans Serif"/>
        </w:rPr>
        <w:t xml:space="preserve">Při přímém napojení přes přípojnou krabici se do proudového okruhu zabuduje všemi póly odpojitelné oddělovací zařízení (např. stykač) se vzdáleností rozevření kontaktů min. </w:t>
      </w:r>
      <w:smartTag w:uri="urn:schemas-microsoft-com:office:smarttags" w:element="metricconverter">
        <w:smartTagPr>
          <w:attr w:name="ProductID" w:val="3 mm"/>
        </w:smartTagPr>
        <w:r w:rsidRPr="000C3505">
          <w:rPr>
            <w:rFonts w:ascii="Microsoft Sans Serif" w:hAnsi="Microsoft Sans Serif" w:cs="Microsoft Sans Serif"/>
          </w:rPr>
          <w:t>3 mm</w:t>
        </w:r>
      </w:smartTag>
      <w:r w:rsidRPr="000C3505">
        <w:rPr>
          <w:rFonts w:ascii="Microsoft Sans Serif" w:hAnsi="Microsoft Sans Serif" w:cs="Microsoft Sans Serif"/>
        </w:rPr>
        <w:t>.</w:t>
      </w:r>
    </w:p>
    <w:p w:rsidR="00017ACE" w:rsidRDefault="00017ACE" w:rsidP="00017ACE">
      <w:pPr>
        <w:pStyle w:val="Zkladntext"/>
        <w:ind w:left="-491" w:right="-851"/>
        <w:jc w:val="left"/>
        <w:rPr>
          <w:rFonts w:ascii="Microsoft Sans Serif" w:hAnsi="Microsoft Sans Serif" w:cs="Microsoft Sans Serif"/>
        </w:rPr>
      </w:pPr>
    </w:p>
    <w:p w:rsidR="00017ACE" w:rsidRPr="000C3505" w:rsidRDefault="00017ACE" w:rsidP="00017ACE">
      <w:pPr>
        <w:pStyle w:val="Zkladntext"/>
        <w:numPr>
          <w:ilvl w:val="0"/>
          <w:numId w:val="3"/>
        </w:numPr>
        <w:ind w:right="-851"/>
        <w:jc w:val="left"/>
        <w:rPr>
          <w:rFonts w:ascii="Microsoft Sans Serif" w:hAnsi="Microsoft Sans Serif" w:cs="Microsoft Sans Serif"/>
        </w:rPr>
      </w:pPr>
      <w:r w:rsidRPr="000C3505">
        <w:rPr>
          <w:rFonts w:ascii="Microsoft Sans Serif" w:hAnsi="Microsoft Sans Serif" w:cs="Microsoft Sans Serif"/>
        </w:rPr>
        <w:t>Topné přístroje se nesmí umístit bezprostředně pod resp. před nástěnnou zásuvku.</w:t>
      </w:r>
    </w:p>
    <w:p w:rsidR="00017ACE" w:rsidRPr="009331F5" w:rsidRDefault="00017ACE" w:rsidP="00017ACE">
      <w:pPr>
        <w:pStyle w:val="Zkladntext"/>
        <w:ind w:left="-491"/>
        <w:rPr>
          <w:rFonts w:ascii="Microsoft Sans Serif" w:hAnsi="Microsoft Sans Serif" w:cs="Microsoft Sans Serif"/>
          <w:u w:val="single"/>
        </w:rPr>
      </w:pPr>
    </w:p>
    <w:p w:rsidR="00017ACE" w:rsidRPr="009331F5" w:rsidRDefault="00017ACE" w:rsidP="00017ACE">
      <w:pPr>
        <w:pStyle w:val="Zkladntext"/>
        <w:numPr>
          <w:ilvl w:val="0"/>
          <w:numId w:val="3"/>
        </w:numPr>
        <w:rPr>
          <w:rFonts w:ascii="Microsoft Sans Serif" w:hAnsi="Microsoft Sans Serif" w:cs="Microsoft Sans Serif"/>
          <w:u w:val="single"/>
        </w:rPr>
      </w:pPr>
      <w:r w:rsidRPr="009331F5">
        <w:rPr>
          <w:rFonts w:ascii="Microsoft Sans Serif" w:hAnsi="Microsoft Sans Serif" w:cs="Microsoft Sans Serif"/>
        </w:rPr>
        <w:t xml:space="preserve">Dodržujte minimální vzdálenost </w:t>
      </w:r>
      <w:smartTag w:uri="urn:schemas-microsoft-com:office:smarttags" w:element="metricconverter">
        <w:smartTagPr>
          <w:attr w:name="ProductID" w:val="2 cm"/>
        </w:smartTagPr>
        <w:r w:rsidRPr="009331F5">
          <w:rPr>
            <w:rFonts w:ascii="Microsoft Sans Serif" w:hAnsi="Microsoft Sans Serif" w:cs="Microsoft Sans Serif"/>
          </w:rPr>
          <w:t>2 cm</w:t>
        </w:r>
      </w:smartTag>
      <w:r w:rsidRPr="009331F5">
        <w:rPr>
          <w:rFonts w:ascii="Microsoft Sans Serif" w:hAnsi="Microsoft Sans Serif" w:cs="Microsoft Sans Serif"/>
        </w:rPr>
        <w:t xml:space="preserve"> mezi horní hranou topení a spodní hranou okenního parapetu a  </w:t>
      </w:r>
      <w:smartTag w:uri="urn:schemas-microsoft-com:office:smarttags" w:element="metricconverter">
        <w:smartTagPr>
          <w:attr w:name="ProductID" w:val="2 cm"/>
        </w:smartTagPr>
        <w:r w:rsidRPr="009331F5">
          <w:rPr>
            <w:rFonts w:ascii="Microsoft Sans Serif" w:hAnsi="Microsoft Sans Serif" w:cs="Microsoft Sans Serif"/>
          </w:rPr>
          <w:t>2 cm</w:t>
        </w:r>
      </w:smartTag>
      <w:r w:rsidRPr="009331F5">
        <w:rPr>
          <w:rFonts w:ascii="Microsoft Sans Serif" w:hAnsi="Microsoft Sans Serif" w:cs="Microsoft Sans Serif"/>
        </w:rPr>
        <w:t xml:space="preserve"> mezi spodní hranou topení a podlahou.</w:t>
      </w:r>
      <w:r w:rsidRPr="009331F5">
        <w:rPr>
          <w:rFonts w:ascii="Microsoft Sans Serif" w:hAnsi="Microsoft Sans Serif" w:cs="Microsoft Sans Serif"/>
          <w:b/>
        </w:rPr>
        <w:t xml:space="preserve"> </w:t>
      </w:r>
      <w:r w:rsidRPr="009331F5">
        <w:rPr>
          <w:rFonts w:ascii="Microsoft Sans Serif" w:hAnsi="Microsoft Sans Serif" w:cs="Microsoft Sans Serif"/>
        </w:rPr>
        <w:t>(</w:t>
      </w:r>
      <w:r>
        <w:rPr>
          <w:rFonts w:ascii="Microsoft Sans Serif" w:hAnsi="Microsoft Sans Serif" w:cs="Microsoft Sans Serif"/>
        </w:rPr>
        <w:t xml:space="preserve"> </w:t>
      </w:r>
      <w:r w:rsidRPr="009331F5">
        <w:rPr>
          <w:rFonts w:ascii="Microsoft Sans Serif" w:hAnsi="Microsoft Sans Serif" w:cs="Microsoft Sans Serif"/>
        </w:rPr>
        <w:t xml:space="preserve">viz. vyobrazení vpravo </w:t>
      </w:r>
      <w:proofErr w:type="gramStart"/>
      <w:r w:rsidRPr="009331F5">
        <w:rPr>
          <w:rFonts w:ascii="Microsoft Sans Serif" w:hAnsi="Microsoft Sans Serif" w:cs="Microsoft Sans Serif"/>
        </w:rPr>
        <w:t>nahoře</w:t>
      </w:r>
      <w:r>
        <w:rPr>
          <w:rFonts w:ascii="Microsoft Sans Serif" w:hAnsi="Microsoft Sans Serif" w:cs="Microsoft Sans Serif"/>
        </w:rPr>
        <w:t xml:space="preserve"> )</w:t>
      </w:r>
      <w:proofErr w:type="gramEnd"/>
    </w:p>
    <w:p w:rsidR="00017ACE" w:rsidRDefault="00017ACE" w:rsidP="00017ACE">
      <w:pPr>
        <w:ind w:left="-491" w:right="-851"/>
        <w:rPr>
          <w:rFonts w:ascii="Microsoft Sans Serif" w:hAnsi="Microsoft Sans Serif" w:cs="Microsoft Sans Serif"/>
        </w:rPr>
      </w:pPr>
    </w:p>
    <w:p w:rsidR="00017ACE" w:rsidRDefault="00017ACE" w:rsidP="00017ACE">
      <w:pPr>
        <w:numPr>
          <w:ilvl w:val="0"/>
          <w:numId w:val="3"/>
        </w:numPr>
        <w:ind w:right="-85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Při manipulaci s topnými panely </w:t>
      </w:r>
      <w:r w:rsidRPr="000C3505">
        <w:rPr>
          <w:rFonts w:ascii="Microsoft Sans Serif" w:hAnsi="Microsoft Sans Serif" w:cs="Microsoft Sans Serif"/>
        </w:rPr>
        <w:t>se</w:t>
      </w:r>
      <w:r>
        <w:rPr>
          <w:rFonts w:ascii="Microsoft Sans Serif" w:hAnsi="Microsoft Sans Serif" w:cs="Microsoft Sans Serif"/>
        </w:rPr>
        <w:t xml:space="preserve"> vyvarujte pádu panelu, otřesům, či hrubému </w:t>
      </w:r>
      <w:proofErr w:type="gramStart"/>
      <w:r>
        <w:rPr>
          <w:rFonts w:ascii="Microsoft Sans Serif" w:hAnsi="Microsoft Sans Serif" w:cs="Microsoft Sans Serif"/>
        </w:rPr>
        <w:t>zacházení.</w:t>
      </w:r>
      <w:r w:rsidRPr="000C3505">
        <w:rPr>
          <w:rFonts w:ascii="Microsoft Sans Serif" w:hAnsi="Microsoft Sans Serif" w:cs="Microsoft Sans Serif"/>
        </w:rPr>
        <w:t>.</w:t>
      </w:r>
      <w:proofErr w:type="gramEnd"/>
    </w:p>
    <w:p w:rsidR="00017ACE" w:rsidRPr="000C3505" w:rsidRDefault="00017ACE" w:rsidP="00017ACE">
      <w:pPr>
        <w:ind w:left="-851" w:right="-851"/>
        <w:rPr>
          <w:rFonts w:ascii="Microsoft Sans Serif" w:hAnsi="Microsoft Sans Serif" w:cs="Microsoft Sans Serif"/>
        </w:rPr>
      </w:pPr>
    </w:p>
    <w:p w:rsidR="00017ACE" w:rsidRPr="00475377" w:rsidRDefault="00017ACE" w:rsidP="00017ACE">
      <w:pPr>
        <w:ind w:left="-851" w:right="-851" w:firstLine="720"/>
        <w:rPr>
          <w:rFonts w:ascii="Microsoft Sans Serif" w:hAnsi="Microsoft Sans Serif" w:cs="Microsoft Sans Serif"/>
        </w:rPr>
      </w:pPr>
      <w:r w:rsidRPr="00475377">
        <w:rPr>
          <w:rFonts w:ascii="Microsoft Sans Serif" w:hAnsi="Microsoft Sans Serif" w:cs="Microsoft Sans Serif"/>
          <w:u w:val="single"/>
        </w:rPr>
        <w:t>Umístění pokojového termostatu</w:t>
      </w:r>
      <w:r>
        <w:rPr>
          <w:rFonts w:ascii="Microsoft Sans Serif" w:hAnsi="Microsoft Sans Serif" w:cs="Microsoft Sans Serif"/>
        </w:rPr>
        <w:t>:</w:t>
      </w:r>
    </w:p>
    <w:p w:rsidR="00017ACE" w:rsidRDefault="00017ACE" w:rsidP="00017ACE">
      <w:pPr>
        <w:ind w:left="-131" w:right="-85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Termostat doporučujeme umístit </w:t>
      </w:r>
      <w:r w:rsidRPr="000C3505">
        <w:rPr>
          <w:rFonts w:ascii="Microsoft Sans Serif" w:hAnsi="Microsoft Sans Serif" w:cs="Microsoft Sans Serif"/>
        </w:rPr>
        <w:t xml:space="preserve">do výšky </w:t>
      </w:r>
      <w:smartTag w:uri="urn:schemas-microsoft-com:office:smarttags" w:element="metricconverter">
        <w:smartTagPr>
          <w:attr w:name="ProductID" w:val="1,5 m"/>
        </w:smartTagPr>
        <w:r w:rsidRPr="000C3505">
          <w:rPr>
            <w:rFonts w:ascii="Microsoft Sans Serif" w:hAnsi="Microsoft Sans Serif" w:cs="Microsoft Sans Serif"/>
          </w:rPr>
          <w:t>1,5 m</w:t>
        </w:r>
      </w:smartTag>
      <w:r w:rsidRPr="000C3505">
        <w:rPr>
          <w:rFonts w:ascii="Microsoft Sans Serif" w:hAnsi="Microsoft Sans Serif" w:cs="Microsoft Sans Serif"/>
        </w:rPr>
        <w:t>, min</w:t>
      </w:r>
      <w:r>
        <w:rPr>
          <w:rFonts w:ascii="Microsoft Sans Serif" w:hAnsi="Microsoft Sans Serif" w:cs="Microsoft Sans Serif"/>
        </w:rPr>
        <w:t xml:space="preserve">imálně </w:t>
      </w:r>
      <w:smartTag w:uri="urn:schemas-microsoft-com:office:smarttags" w:element="metricconverter">
        <w:smartTagPr>
          <w:attr w:name="ProductID" w:val="20 cm"/>
        </w:smartTagPr>
        <w:r w:rsidRPr="000C3505">
          <w:rPr>
            <w:rFonts w:ascii="Microsoft Sans Serif" w:hAnsi="Microsoft Sans Serif" w:cs="Microsoft Sans Serif"/>
          </w:rPr>
          <w:t>20 cm</w:t>
        </w:r>
      </w:smartTag>
      <w:r w:rsidRPr="000C3505">
        <w:rPr>
          <w:rFonts w:ascii="Microsoft Sans Serif" w:hAnsi="Microsoft Sans Serif" w:cs="Microsoft Sans Serif"/>
        </w:rPr>
        <w:t xml:space="preserve"> vlevo</w:t>
      </w:r>
      <w:r>
        <w:rPr>
          <w:rFonts w:ascii="Microsoft Sans Serif" w:hAnsi="Microsoft Sans Serif" w:cs="Microsoft Sans Serif"/>
        </w:rPr>
        <w:t xml:space="preserve"> nebo vpravo od topného </w:t>
      </w:r>
      <w:proofErr w:type="gramStart"/>
      <w:r>
        <w:rPr>
          <w:rFonts w:ascii="Microsoft Sans Serif" w:hAnsi="Microsoft Sans Serif" w:cs="Microsoft Sans Serif"/>
        </w:rPr>
        <w:t>tělesa a nebo kamkoli</w:t>
      </w:r>
      <w:proofErr w:type="gramEnd"/>
      <w:r>
        <w:rPr>
          <w:rFonts w:ascii="Microsoft Sans Serif" w:hAnsi="Microsoft Sans Serif" w:cs="Microsoft Sans Serif"/>
        </w:rPr>
        <w:t xml:space="preserve"> do místnosti mimo </w:t>
      </w:r>
      <w:r w:rsidRPr="000C3505">
        <w:rPr>
          <w:rFonts w:ascii="Microsoft Sans Serif" w:hAnsi="Microsoft Sans Serif" w:cs="Microsoft Sans Serif"/>
        </w:rPr>
        <w:t>míst vy</w:t>
      </w:r>
      <w:r>
        <w:rPr>
          <w:rFonts w:ascii="Microsoft Sans Serif" w:hAnsi="Microsoft Sans Serif" w:cs="Microsoft Sans Serif"/>
        </w:rPr>
        <w:t>stavených přímému slunci. Dále nedoporučujeme instalaci přímo</w:t>
      </w:r>
      <w:r w:rsidRPr="000C3505">
        <w:rPr>
          <w:rFonts w:ascii="Microsoft Sans Serif" w:hAnsi="Microsoft Sans Serif" w:cs="Microsoft Sans Serif"/>
        </w:rPr>
        <w:t xml:space="preserve"> u dveří</w:t>
      </w:r>
      <w:r>
        <w:rPr>
          <w:rFonts w:ascii="Microsoft Sans Serif" w:hAnsi="Microsoft Sans Serif" w:cs="Microsoft Sans Serif"/>
        </w:rPr>
        <w:t xml:space="preserve"> z důvodů možných otřesů.</w:t>
      </w:r>
    </w:p>
    <w:p w:rsidR="00017ACE" w:rsidRDefault="00017ACE" w:rsidP="00017ACE">
      <w:pPr>
        <w:ind w:left="-131" w:right="-851"/>
        <w:rPr>
          <w:rFonts w:ascii="Microsoft Sans Serif" w:hAnsi="Microsoft Sans Serif" w:cs="Microsoft Sans Serif"/>
        </w:rPr>
      </w:pPr>
    </w:p>
    <w:p w:rsidR="00017ACE" w:rsidRDefault="00017ACE" w:rsidP="00017ACE">
      <w:pPr>
        <w:ind w:left="-131" w:right="-851"/>
        <w:rPr>
          <w:rFonts w:ascii="Microsoft Sans Serif" w:hAnsi="Microsoft Sans Serif" w:cs="Microsoft Sans Serif"/>
        </w:rPr>
      </w:pPr>
    </w:p>
    <w:p w:rsidR="007A4382" w:rsidRDefault="007A4382" w:rsidP="00017ACE">
      <w:pPr>
        <w:ind w:left="-131" w:right="-851"/>
        <w:rPr>
          <w:rFonts w:ascii="Microsoft Sans Serif" w:hAnsi="Microsoft Sans Serif" w:cs="Microsoft Sans Serif"/>
        </w:rPr>
      </w:pPr>
    </w:p>
    <w:p w:rsidR="007A4382" w:rsidRDefault="007A4382" w:rsidP="00017ACE">
      <w:pPr>
        <w:ind w:left="-131" w:right="-851"/>
        <w:rPr>
          <w:rFonts w:ascii="Microsoft Sans Serif" w:hAnsi="Microsoft Sans Serif" w:cs="Microsoft Sans Serif"/>
        </w:rPr>
      </w:pPr>
    </w:p>
    <w:p w:rsidR="007A4382" w:rsidRDefault="007A4382" w:rsidP="00017ACE">
      <w:pPr>
        <w:ind w:left="-131" w:right="-851"/>
        <w:rPr>
          <w:rFonts w:ascii="Microsoft Sans Serif" w:hAnsi="Microsoft Sans Serif" w:cs="Microsoft Sans Serif"/>
        </w:rPr>
      </w:pPr>
    </w:p>
    <w:p w:rsidR="00017ACE" w:rsidRPr="00475377" w:rsidRDefault="00017ACE" w:rsidP="00017ACE">
      <w:pPr>
        <w:pStyle w:val="Nadpis2"/>
        <w:ind w:left="-851" w:right="-851"/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475377">
        <w:rPr>
          <w:rFonts w:ascii="Microsoft Sans Serif" w:hAnsi="Microsoft Sans Serif" w:cs="Microsoft Sans Serif"/>
          <w:sz w:val="28"/>
          <w:szCs w:val="28"/>
          <w:u w:val="single"/>
        </w:rPr>
        <w:lastRenderedPageBreak/>
        <w:t>Návod pro připojení elektrických radiátorů EVO k síti (230V AC)</w:t>
      </w:r>
    </w:p>
    <w:p w:rsidR="00017ACE" w:rsidRPr="00475377" w:rsidRDefault="00017ACE" w:rsidP="00017ACE">
      <w:pPr>
        <w:ind w:left="-851" w:right="-851"/>
        <w:rPr>
          <w:rFonts w:ascii="Microsoft Sans Serif" w:hAnsi="Microsoft Sans Serif" w:cs="Microsoft Sans Serif"/>
          <w:b/>
          <w:sz w:val="28"/>
          <w:szCs w:val="28"/>
        </w:rPr>
      </w:pPr>
    </w:p>
    <w:p w:rsidR="00017ACE" w:rsidRDefault="00017ACE" w:rsidP="00017ACE">
      <w:pPr>
        <w:ind w:left="-851" w:right="-851"/>
        <w:rPr>
          <w:rFonts w:ascii="Microsoft Sans Serif" w:hAnsi="Microsoft Sans Serif" w:cs="Microsoft Sans Serif"/>
        </w:rPr>
      </w:pPr>
    </w:p>
    <w:p w:rsidR="00017ACE" w:rsidRDefault="00017ACE" w:rsidP="00017ACE">
      <w:pPr>
        <w:ind w:left="-851" w:right="-851"/>
        <w:rPr>
          <w:rFonts w:ascii="Microsoft Sans Serif" w:hAnsi="Microsoft Sans Serif" w:cs="Microsoft Sans Serif"/>
        </w:rPr>
      </w:pPr>
    </w:p>
    <w:p w:rsidR="00017ACE" w:rsidRPr="00475377" w:rsidRDefault="00017ACE" w:rsidP="00017ACE">
      <w:pPr>
        <w:ind w:left="-851" w:right="-851" w:firstLine="851"/>
        <w:rPr>
          <w:rFonts w:ascii="Microsoft Sans Serif" w:hAnsi="Microsoft Sans Serif" w:cs="Microsoft Sans Serif"/>
          <w:u w:val="single"/>
        </w:rPr>
      </w:pPr>
      <w:r w:rsidRPr="00475377">
        <w:rPr>
          <w:rFonts w:ascii="Microsoft Sans Serif" w:hAnsi="Microsoft Sans Serif" w:cs="Microsoft Sans Serif"/>
          <w:u w:val="single"/>
        </w:rPr>
        <w:t>Je třeba postupovat podle následujících kroků:</w:t>
      </w:r>
    </w:p>
    <w:p w:rsidR="00017ACE" w:rsidRDefault="00017ACE" w:rsidP="00017ACE">
      <w:pPr>
        <w:ind w:left="-567"/>
        <w:rPr>
          <w:sz w:val="16"/>
        </w:rPr>
      </w:pPr>
    </w:p>
    <w:p w:rsidR="00017ACE" w:rsidRPr="00BD75B5" w:rsidRDefault="00502624" w:rsidP="00017ACE">
      <w:pPr>
        <w:ind w:left="-851" w:righ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85pt;margin-top:9.2pt;width:365.25pt;height:225pt;z-index:251661312" o:allowincell="f" filled="f" stroked="f">
            <v:textbox style="mso-next-textbox:#_x0000_s1027">
              <w:txbxContent>
                <w:p w:rsidR="00017ACE" w:rsidRPr="004C4698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>Vyjměte radiátor z obalu a postavte ho.</w:t>
                  </w:r>
                </w:p>
                <w:p w:rsidR="00017ACE" w:rsidRPr="004C4698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 xml:space="preserve">Šroubovákem lehce stlačte úchyt na zakrytí ( vrchní krycí </w:t>
                  </w:r>
                  <w:proofErr w:type="gramStart"/>
                  <w:r w:rsidRPr="004C4698">
                    <w:rPr>
                      <w:sz w:val="18"/>
                      <w:szCs w:val="18"/>
                    </w:rPr>
                    <w:t>lišta ) a vysuňte</w:t>
                  </w:r>
                  <w:proofErr w:type="gramEnd"/>
                  <w:r w:rsidRPr="004C4698">
                    <w:rPr>
                      <w:sz w:val="18"/>
                      <w:szCs w:val="18"/>
                    </w:rPr>
                    <w:t xml:space="preserve"> je z výřezu . Toto opakujte, až lze zakrytí zvednout.</w:t>
                  </w:r>
                </w:p>
                <w:p w:rsidR="00017ACE" w:rsidRPr="004C4698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>V tomto stavu proveďte montáž na stěnu.</w:t>
                  </w:r>
                </w:p>
                <w:p w:rsidR="00017ACE" w:rsidRPr="004C4698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 xml:space="preserve">Na té straně, kde má radiátor štítek, jsou také vývody k zapojení.  Úchyty klipsového dílu lehce zatlačte a klipsový díl odstraňte směrem nahoru. </w:t>
                  </w:r>
                </w:p>
                <w:p w:rsidR="00017ACE" w:rsidRPr="004C4698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 xml:space="preserve">Volný postranní díl úplně odstraníte </w:t>
                  </w:r>
                  <w:proofErr w:type="gramStart"/>
                  <w:r w:rsidRPr="004C4698">
                    <w:rPr>
                      <w:sz w:val="18"/>
                      <w:szCs w:val="18"/>
                    </w:rPr>
                    <w:t>pohybem  směrem</w:t>
                  </w:r>
                  <w:proofErr w:type="gramEnd"/>
                  <w:r w:rsidRPr="004C4698">
                    <w:rPr>
                      <w:sz w:val="18"/>
                      <w:szCs w:val="18"/>
                    </w:rPr>
                    <w:t xml:space="preserve"> dolů.</w:t>
                  </w:r>
                </w:p>
                <w:p w:rsidR="00017ACE" w:rsidRPr="004C4698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>Keramickou svorkovnici z  postranního dílu vyjměte.</w:t>
                  </w:r>
                </w:p>
                <w:p w:rsidR="00017ACE" w:rsidRPr="004C4698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>Zasunutí připojovacího kabelu proveďte podle schématu (řez A-A, otvory pro kabel se nachází ve vnitřní straně postranního dílu) a proveďte zapojení kabelu do keramické svorkovnice.</w:t>
                  </w:r>
                </w:p>
                <w:p w:rsidR="00017ACE" w:rsidRPr="004C4698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 xml:space="preserve">Keramickou svorkovnici zasuňte zpět do postranního dílu a uspořádejte v něm kabely tak, </w:t>
                  </w:r>
                  <w:proofErr w:type="gramStart"/>
                  <w:r w:rsidRPr="004C4698">
                    <w:rPr>
                      <w:sz w:val="18"/>
                      <w:szCs w:val="18"/>
                    </w:rPr>
                    <w:t>aby  nedošlo</w:t>
                  </w:r>
                  <w:proofErr w:type="gramEnd"/>
                  <w:r w:rsidRPr="004C4698">
                    <w:rPr>
                      <w:sz w:val="18"/>
                      <w:szCs w:val="18"/>
                    </w:rPr>
                    <w:t xml:space="preserve"> při zavírání k jejich nežádoucímu skřípnutí. </w:t>
                  </w:r>
                </w:p>
                <w:p w:rsidR="00017ACE" w:rsidRPr="004C4698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>Postranní díl zasuňte zespodu do lamel a přitiskněte pevně k boku radiátoru a nasaďte zpět vrchní klipsový díl takovým způsobem, aby jeho úchyty plně zapadly do otvorů postranního dílu.</w:t>
                  </w:r>
                </w:p>
                <w:p w:rsidR="00017ACE" w:rsidRDefault="00017ACE" w:rsidP="00017ACE">
                  <w:pPr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4C4698">
                    <w:rPr>
                      <w:sz w:val="18"/>
                      <w:szCs w:val="18"/>
                    </w:rPr>
                    <w:t xml:space="preserve">Poté nasaďte zpět zakrytí ( vrchní krycí </w:t>
                  </w:r>
                  <w:proofErr w:type="gramStart"/>
                  <w:r w:rsidRPr="004C4698">
                    <w:rPr>
                      <w:sz w:val="18"/>
                      <w:szCs w:val="18"/>
                    </w:rPr>
                    <w:t>lištu ) opět</w:t>
                  </w:r>
                  <w:proofErr w:type="gramEnd"/>
                  <w:r w:rsidRPr="004C4698">
                    <w:rPr>
                      <w:sz w:val="18"/>
                      <w:szCs w:val="18"/>
                    </w:rPr>
                    <w:t xml:space="preserve"> pomocí stlačení jeho úchytů.</w:t>
                  </w:r>
                </w:p>
                <w:p w:rsidR="00017ACE" w:rsidRDefault="00017ACE" w:rsidP="00017ACE">
                  <w:pPr>
                    <w:rPr>
                      <w:sz w:val="18"/>
                      <w:szCs w:val="18"/>
                    </w:rPr>
                  </w:pPr>
                </w:p>
                <w:p w:rsidR="00017ACE" w:rsidRPr="004C4698" w:rsidRDefault="00017ACE" w:rsidP="00017ACE">
                  <w:pPr>
                    <w:rPr>
                      <w:sz w:val="18"/>
                      <w:szCs w:val="18"/>
                    </w:rPr>
                  </w:pPr>
                </w:p>
                <w:p w:rsidR="00017ACE" w:rsidRPr="004C4698" w:rsidRDefault="00017ACE" w:rsidP="00017ACE"/>
                <w:p w:rsidR="00017ACE" w:rsidRDefault="00017ACE" w:rsidP="00017ACE">
                  <w:pPr>
                    <w:rPr>
                      <w:sz w:val="16"/>
                    </w:rPr>
                  </w:pPr>
                </w:p>
                <w:p w:rsidR="00017ACE" w:rsidRDefault="00017ACE" w:rsidP="00017ACE">
                  <w:pPr>
                    <w:rPr>
                      <w:sz w:val="16"/>
                    </w:rPr>
                  </w:pPr>
                </w:p>
                <w:p w:rsidR="00017ACE" w:rsidRDefault="00017ACE" w:rsidP="00017ACE">
                  <w:pPr>
                    <w:rPr>
                      <w:sz w:val="16"/>
                    </w:rPr>
                  </w:pPr>
                </w:p>
                <w:p w:rsidR="00017ACE" w:rsidRDefault="00017ACE" w:rsidP="00017ACE">
                  <w:pPr>
                    <w:rPr>
                      <w:sz w:val="16"/>
                    </w:rPr>
                  </w:pPr>
                </w:p>
                <w:p w:rsidR="00017ACE" w:rsidRDefault="00017ACE" w:rsidP="00017ACE">
                  <w:pPr>
                    <w:rPr>
                      <w:sz w:val="16"/>
                    </w:rPr>
                  </w:pPr>
                </w:p>
                <w:p w:rsidR="00017ACE" w:rsidRDefault="00017ACE" w:rsidP="00017ACE"/>
              </w:txbxContent>
            </v:textbox>
          </v:shape>
        </w:pict>
      </w:r>
      <w:r w:rsidR="00017AC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3503930</wp:posOffset>
            </wp:positionV>
            <wp:extent cx="3566160" cy="3200400"/>
            <wp:effectExtent l="19050" t="0" r="0" b="0"/>
            <wp:wrapTopAndBottom/>
            <wp:docPr id="4" name="obrázek 4" descr="mont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tá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CE" w:rsidRPr="00BD75B5" w:rsidRDefault="00017ACE" w:rsidP="00017ACE"/>
    <w:p w:rsidR="00017ACE" w:rsidRPr="00BD75B5" w:rsidRDefault="00017ACE" w:rsidP="00017ACE"/>
    <w:p w:rsidR="00017ACE" w:rsidRPr="00BD75B5" w:rsidRDefault="00017ACE" w:rsidP="00017ACE"/>
    <w:p w:rsidR="00017ACE" w:rsidRPr="00BD75B5" w:rsidRDefault="00017ACE" w:rsidP="00017ACE"/>
    <w:p w:rsidR="00017ACE" w:rsidRPr="00BD75B5" w:rsidRDefault="00017ACE" w:rsidP="00017ACE"/>
    <w:p w:rsidR="00017ACE" w:rsidRPr="00BD75B5" w:rsidRDefault="00017ACE" w:rsidP="00017ACE"/>
    <w:p w:rsidR="00017ACE" w:rsidRPr="00BD75B5" w:rsidRDefault="00017ACE" w:rsidP="00017ACE"/>
    <w:p w:rsidR="00017ACE" w:rsidRPr="00BD75B5" w:rsidRDefault="00017ACE" w:rsidP="00017ACE"/>
    <w:p w:rsidR="00017ACE" w:rsidRPr="00BD75B5" w:rsidRDefault="00017ACE" w:rsidP="00017ACE"/>
    <w:p w:rsidR="00017ACE" w:rsidRPr="00BD75B5" w:rsidRDefault="00017ACE" w:rsidP="00017ACE"/>
    <w:p w:rsidR="00017ACE" w:rsidRDefault="00017ACE" w:rsidP="00017ACE"/>
    <w:p w:rsidR="00017ACE" w:rsidRDefault="00017ACE" w:rsidP="00017ACE"/>
    <w:p w:rsidR="00017ACE" w:rsidRDefault="00017ACE" w:rsidP="00017ACE"/>
    <w:p w:rsidR="00017ACE" w:rsidRDefault="00017ACE" w:rsidP="00017ACE"/>
    <w:p w:rsidR="00017ACE" w:rsidRDefault="00017ACE" w:rsidP="00017ACE"/>
    <w:p w:rsidR="00017ACE" w:rsidRDefault="00017ACE" w:rsidP="00017ACE"/>
    <w:p w:rsidR="00017ACE" w:rsidRDefault="00017ACE" w:rsidP="00017ACE">
      <w:pPr>
        <w:rPr>
          <w:rFonts w:ascii="Microsoft Sans Serif" w:hAnsi="Microsoft Sans Serif" w:cs="Microsoft Sans Serif"/>
          <w:b/>
        </w:rPr>
      </w:pPr>
    </w:p>
    <w:p w:rsidR="00017ACE" w:rsidRDefault="00017ACE" w:rsidP="00017ACE">
      <w:pPr>
        <w:rPr>
          <w:rFonts w:ascii="Microsoft Sans Serif" w:hAnsi="Microsoft Sans Serif" w:cs="Microsoft Sans Serif"/>
          <w:b/>
        </w:rPr>
      </w:pPr>
    </w:p>
    <w:p w:rsidR="00017ACE" w:rsidRDefault="00017ACE" w:rsidP="00017ACE">
      <w:pPr>
        <w:rPr>
          <w:rFonts w:ascii="Microsoft Sans Serif" w:hAnsi="Microsoft Sans Serif" w:cs="Microsoft Sans Serif"/>
          <w:b/>
        </w:rPr>
      </w:pPr>
    </w:p>
    <w:p w:rsidR="00017ACE" w:rsidRDefault="00017ACE" w:rsidP="00017ACE">
      <w:pPr>
        <w:rPr>
          <w:rFonts w:ascii="Microsoft Sans Serif" w:hAnsi="Microsoft Sans Serif" w:cs="Microsoft Sans Serif"/>
          <w:b/>
        </w:rPr>
      </w:pPr>
    </w:p>
    <w:p w:rsidR="00017ACE" w:rsidRDefault="00017ACE" w:rsidP="00017ACE">
      <w:pPr>
        <w:pStyle w:val="Nadpis2"/>
        <w:ind w:left="-851" w:right="-851"/>
        <w:rPr>
          <w:rFonts w:ascii="Microsoft Sans Serif" w:hAnsi="Microsoft Sans Serif" w:cs="Microsoft Sans Serif"/>
          <w:sz w:val="28"/>
          <w:szCs w:val="28"/>
        </w:rPr>
      </w:pPr>
    </w:p>
    <w:p w:rsidR="00017ACE" w:rsidRDefault="00017ACE" w:rsidP="00017ACE">
      <w:pPr>
        <w:pStyle w:val="Nadpis2"/>
        <w:ind w:left="-851" w:right="-851"/>
        <w:rPr>
          <w:rFonts w:ascii="Microsoft Sans Serif" w:hAnsi="Microsoft Sans Serif" w:cs="Microsoft Sans Serif"/>
          <w:sz w:val="28"/>
          <w:szCs w:val="28"/>
        </w:rPr>
      </w:pPr>
    </w:p>
    <w:p w:rsidR="00017ACE" w:rsidRDefault="00017ACE" w:rsidP="00017ACE">
      <w:pPr>
        <w:pStyle w:val="Nadpis2"/>
        <w:ind w:left="-851" w:right="-851"/>
        <w:rPr>
          <w:rFonts w:ascii="Microsoft Sans Serif" w:hAnsi="Microsoft Sans Serif" w:cs="Microsoft Sans Serif"/>
          <w:sz w:val="28"/>
          <w:szCs w:val="28"/>
        </w:rPr>
      </w:pPr>
    </w:p>
    <w:p w:rsidR="00017ACE" w:rsidRDefault="00017ACE" w:rsidP="00017ACE"/>
    <w:p w:rsidR="00017ACE" w:rsidRPr="00403AEA" w:rsidRDefault="00017ACE" w:rsidP="00017ACE"/>
    <w:p w:rsidR="00017ACE" w:rsidRDefault="00017ACE" w:rsidP="00017ACE">
      <w:pPr>
        <w:pStyle w:val="Nadpis2"/>
        <w:ind w:left="-851" w:right="-851"/>
        <w:rPr>
          <w:rFonts w:ascii="Microsoft Sans Serif" w:hAnsi="Microsoft Sans Serif" w:cs="Microsoft Sans Serif"/>
          <w:sz w:val="28"/>
          <w:szCs w:val="28"/>
        </w:rPr>
      </w:pPr>
    </w:p>
    <w:p w:rsidR="00017ACE" w:rsidRDefault="00017ACE" w:rsidP="00017ACE">
      <w:pPr>
        <w:pStyle w:val="Nadpis2"/>
        <w:ind w:left="-851" w:right="-851"/>
        <w:rPr>
          <w:rFonts w:ascii="Microsoft Sans Serif" w:hAnsi="Microsoft Sans Serif" w:cs="Microsoft Sans Serif"/>
          <w:sz w:val="28"/>
          <w:szCs w:val="28"/>
        </w:rPr>
      </w:pPr>
    </w:p>
    <w:p w:rsidR="00017ACE" w:rsidRPr="000C3505" w:rsidRDefault="00017ACE" w:rsidP="00017ACE">
      <w:pPr>
        <w:ind w:left="-131" w:right="-851"/>
        <w:rPr>
          <w:rFonts w:ascii="Microsoft Sans Serif" w:hAnsi="Microsoft Sans Serif" w:cs="Microsoft Sans Serif"/>
        </w:rPr>
      </w:pPr>
    </w:p>
    <w:p w:rsidR="00017ACE" w:rsidRDefault="00017ACE" w:rsidP="00017ACE">
      <w:pPr>
        <w:ind w:left="-851" w:right="-851"/>
        <w:jc w:val="both"/>
        <w:rPr>
          <w:b/>
          <w:sz w:val="24"/>
        </w:rPr>
      </w:pPr>
    </w:p>
    <w:p w:rsidR="00017ACE" w:rsidRDefault="00017ACE" w:rsidP="00017ACE">
      <w:pPr>
        <w:ind w:left="-851" w:right="-851"/>
        <w:jc w:val="both"/>
        <w:rPr>
          <w:b/>
          <w:sz w:val="24"/>
        </w:rPr>
      </w:pPr>
    </w:p>
    <w:p w:rsidR="00017ACE" w:rsidRDefault="00017ACE" w:rsidP="00017ACE">
      <w:pPr>
        <w:ind w:left="-851" w:right="-851"/>
        <w:jc w:val="both"/>
        <w:rPr>
          <w:b/>
          <w:sz w:val="24"/>
        </w:rPr>
      </w:pPr>
    </w:p>
    <w:p w:rsidR="00017ACE" w:rsidRDefault="00017ACE" w:rsidP="00017ACE">
      <w:pPr>
        <w:ind w:left="-851" w:right="-851"/>
        <w:jc w:val="both"/>
        <w:rPr>
          <w:b/>
          <w:sz w:val="24"/>
        </w:rPr>
      </w:pPr>
    </w:p>
    <w:p w:rsidR="00752E71" w:rsidRDefault="00752E71"/>
    <w:sectPr w:rsidR="00752E71" w:rsidSect="00017AC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C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A8431C"/>
    <w:multiLevelType w:val="hybridMultilevel"/>
    <w:tmpl w:val="CFA0B9C2"/>
    <w:lvl w:ilvl="0" w:tplc="0405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4E222785"/>
    <w:multiLevelType w:val="hybridMultilevel"/>
    <w:tmpl w:val="AED81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92A13"/>
    <w:multiLevelType w:val="hybridMultilevel"/>
    <w:tmpl w:val="8BACDCFC"/>
    <w:lvl w:ilvl="0" w:tplc="0405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ACE"/>
    <w:rsid w:val="00013405"/>
    <w:rsid w:val="00017ACE"/>
    <w:rsid w:val="0002422B"/>
    <w:rsid w:val="00024411"/>
    <w:rsid w:val="0002536F"/>
    <w:rsid w:val="00025DBA"/>
    <w:rsid w:val="0004178B"/>
    <w:rsid w:val="00044DDB"/>
    <w:rsid w:val="00045E91"/>
    <w:rsid w:val="00051F2E"/>
    <w:rsid w:val="000617FB"/>
    <w:rsid w:val="00062282"/>
    <w:rsid w:val="00067F01"/>
    <w:rsid w:val="00072160"/>
    <w:rsid w:val="0007233B"/>
    <w:rsid w:val="000831DB"/>
    <w:rsid w:val="00093CCE"/>
    <w:rsid w:val="000976A5"/>
    <w:rsid w:val="000B2AA1"/>
    <w:rsid w:val="000B65EC"/>
    <w:rsid w:val="000C4FF8"/>
    <w:rsid w:val="000D158E"/>
    <w:rsid w:val="000D4FA3"/>
    <w:rsid w:val="000E39D4"/>
    <w:rsid w:val="000E76DC"/>
    <w:rsid w:val="000F20D9"/>
    <w:rsid w:val="000F38CE"/>
    <w:rsid w:val="000F726B"/>
    <w:rsid w:val="001010EF"/>
    <w:rsid w:val="0010228C"/>
    <w:rsid w:val="00102E1C"/>
    <w:rsid w:val="0010438E"/>
    <w:rsid w:val="0010479F"/>
    <w:rsid w:val="00105E22"/>
    <w:rsid w:val="00136ECA"/>
    <w:rsid w:val="001424AF"/>
    <w:rsid w:val="00144A2C"/>
    <w:rsid w:val="00144D15"/>
    <w:rsid w:val="0015128D"/>
    <w:rsid w:val="0015154C"/>
    <w:rsid w:val="00152891"/>
    <w:rsid w:val="00152B2C"/>
    <w:rsid w:val="00153027"/>
    <w:rsid w:val="00156CB9"/>
    <w:rsid w:val="00172DDD"/>
    <w:rsid w:val="00172E66"/>
    <w:rsid w:val="00176671"/>
    <w:rsid w:val="00177449"/>
    <w:rsid w:val="00177509"/>
    <w:rsid w:val="00183711"/>
    <w:rsid w:val="00184D85"/>
    <w:rsid w:val="00187BD6"/>
    <w:rsid w:val="001A00E6"/>
    <w:rsid w:val="001B59FE"/>
    <w:rsid w:val="001C3442"/>
    <w:rsid w:val="001C42DA"/>
    <w:rsid w:val="001C63BA"/>
    <w:rsid w:val="001C730A"/>
    <w:rsid w:val="001D09C7"/>
    <w:rsid w:val="001E56C2"/>
    <w:rsid w:val="001F13C7"/>
    <w:rsid w:val="001F2AFE"/>
    <w:rsid w:val="001F7116"/>
    <w:rsid w:val="00201857"/>
    <w:rsid w:val="0020385F"/>
    <w:rsid w:val="00205CB5"/>
    <w:rsid w:val="00214BC7"/>
    <w:rsid w:val="00215AC8"/>
    <w:rsid w:val="002217D2"/>
    <w:rsid w:val="00240685"/>
    <w:rsid w:val="00241EF8"/>
    <w:rsid w:val="00245D77"/>
    <w:rsid w:val="002542FA"/>
    <w:rsid w:val="00257016"/>
    <w:rsid w:val="00262677"/>
    <w:rsid w:val="00271EFA"/>
    <w:rsid w:val="0028073E"/>
    <w:rsid w:val="00284D7E"/>
    <w:rsid w:val="00285584"/>
    <w:rsid w:val="00286AB2"/>
    <w:rsid w:val="00296607"/>
    <w:rsid w:val="002A1D39"/>
    <w:rsid w:val="002B09F7"/>
    <w:rsid w:val="002B7E1C"/>
    <w:rsid w:val="002E0546"/>
    <w:rsid w:val="002E5D26"/>
    <w:rsid w:val="002E6B38"/>
    <w:rsid w:val="002F31B4"/>
    <w:rsid w:val="002F6632"/>
    <w:rsid w:val="002F78BD"/>
    <w:rsid w:val="00310AE0"/>
    <w:rsid w:val="003450F8"/>
    <w:rsid w:val="003617E1"/>
    <w:rsid w:val="00362948"/>
    <w:rsid w:val="003661FF"/>
    <w:rsid w:val="00367434"/>
    <w:rsid w:val="00370CB4"/>
    <w:rsid w:val="00371338"/>
    <w:rsid w:val="00371BD6"/>
    <w:rsid w:val="003775E1"/>
    <w:rsid w:val="00385CE2"/>
    <w:rsid w:val="00386F25"/>
    <w:rsid w:val="003A08B8"/>
    <w:rsid w:val="003A68CD"/>
    <w:rsid w:val="003A756C"/>
    <w:rsid w:val="003B38EF"/>
    <w:rsid w:val="003B525B"/>
    <w:rsid w:val="003B557F"/>
    <w:rsid w:val="003D30A3"/>
    <w:rsid w:val="003D4D64"/>
    <w:rsid w:val="003E3C34"/>
    <w:rsid w:val="003F57EE"/>
    <w:rsid w:val="003F619E"/>
    <w:rsid w:val="003F773A"/>
    <w:rsid w:val="004021D8"/>
    <w:rsid w:val="004021F9"/>
    <w:rsid w:val="00411131"/>
    <w:rsid w:val="004111BF"/>
    <w:rsid w:val="00415359"/>
    <w:rsid w:val="0041716D"/>
    <w:rsid w:val="00417611"/>
    <w:rsid w:val="00427FD3"/>
    <w:rsid w:val="0043023F"/>
    <w:rsid w:val="0043532B"/>
    <w:rsid w:val="00436F78"/>
    <w:rsid w:val="00450EEA"/>
    <w:rsid w:val="004525F3"/>
    <w:rsid w:val="00456E75"/>
    <w:rsid w:val="00457256"/>
    <w:rsid w:val="004622F5"/>
    <w:rsid w:val="00470552"/>
    <w:rsid w:val="00472676"/>
    <w:rsid w:val="00475BBD"/>
    <w:rsid w:val="0048283A"/>
    <w:rsid w:val="00485DB4"/>
    <w:rsid w:val="00494793"/>
    <w:rsid w:val="004A1B0F"/>
    <w:rsid w:val="004B0B09"/>
    <w:rsid w:val="004B1708"/>
    <w:rsid w:val="004C034A"/>
    <w:rsid w:val="004C3AA8"/>
    <w:rsid w:val="004D329D"/>
    <w:rsid w:val="004D481F"/>
    <w:rsid w:val="004E0165"/>
    <w:rsid w:val="004E1200"/>
    <w:rsid w:val="004E211A"/>
    <w:rsid w:val="004E4705"/>
    <w:rsid w:val="004E4776"/>
    <w:rsid w:val="00501F1B"/>
    <w:rsid w:val="00502624"/>
    <w:rsid w:val="00520992"/>
    <w:rsid w:val="0053250D"/>
    <w:rsid w:val="0053497C"/>
    <w:rsid w:val="00542FC8"/>
    <w:rsid w:val="005600C1"/>
    <w:rsid w:val="005828B3"/>
    <w:rsid w:val="0059796C"/>
    <w:rsid w:val="005A00B1"/>
    <w:rsid w:val="005A048C"/>
    <w:rsid w:val="005A0CAF"/>
    <w:rsid w:val="005A1435"/>
    <w:rsid w:val="005A2479"/>
    <w:rsid w:val="005B011F"/>
    <w:rsid w:val="005C310E"/>
    <w:rsid w:val="005C447D"/>
    <w:rsid w:val="005D1FC8"/>
    <w:rsid w:val="00601EB7"/>
    <w:rsid w:val="006330C3"/>
    <w:rsid w:val="00635B93"/>
    <w:rsid w:val="006361CA"/>
    <w:rsid w:val="006365B7"/>
    <w:rsid w:val="00663443"/>
    <w:rsid w:val="00670C33"/>
    <w:rsid w:val="0067729B"/>
    <w:rsid w:val="00682823"/>
    <w:rsid w:val="00683D6F"/>
    <w:rsid w:val="00684937"/>
    <w:rsid w:val="00694F81"/>
    <w:rsid w:val="006B12C1"/>
    <w:rsid w:val="006B418C"/>
    <w:rsid w:val="006B47D7"/>
    <w:rsid w:val="006C1579"/>
    <w:rsid w:val="006C4DA0"/>
    <w:rsid w:val="006C585C"/>
    <w:rsid w:val="006C620C"/>
    <w:rsid w:val="006D0263"/>
    <w:rsid w:val="006D2B52"/>
    <w:rsid w:val="006E3439"/>
    <w:rsid w:val="006E727F"/>
    <w:rsid w:val="006F24B5"/>
    <w:rsid w:val="006F385F"/>
    <w:rsid w:val="006F5D24"/>
    <w:rsid w:val="006F7560"/>
    <w:rsid w:val="00702D6A"/>
    <w:rsid w:val="0070462A"/>
    <w:rsid w:val="00704D3E"/>
    <w:rsid w:val="007056F8"/>
    <w:rsid w:val="00712F6A"/>
    <w:rsid w:val="0071463F"/>
    <w:rsid w:val="0072141E"/>
    <w:rsid w:val="00730C2A"/>
    <w:rsid w:val="007351AD"/>
    <w:rsid w:val="00746110"/>
    <w:rsid w:val="00750BC0"/>
    <w:rsid w:val="00752E71"/>
    <w:rsid w:val="00754B25"/>
    <w:rsid w:val="00775EF4"/>
    <w:rsid w:val="00781C0F"/>
    <w:rsid w:val="007A4382"/>
    <w:rsid w:val="007B78B3"/>
    <w:rsid w:val="007C21F9"/>
    <w:rsid w:val="007C355C"/>
    <w:rsid w:val="007C692F"/>
    <w:rsid w:val="007C72A7"/>
    <w:rsid w:val="007C78C2"/>
    <w:rsid w:val="007D1C19"/>
    <w:rsid w:val="007E03C1"/>
    <w:rsid w:val="007F3E75"/>
    <w:rsid w:val="007F64EE"/>
    <w:rsid w:val="0080785B"/>
    <w:rsid w:val="00813A20"/>
    <w:rsid w:val="00814143"/>
    <w:rsid w:val="00822FC5"/>
    <w:rsid w:val="00827A79"/>
    <w:rsid w:val="0084080F"/>
    <w:rsid w:val="00846693"/>
    <w:rsid w:val="00856805"/>
    <w:rsid w:val="0088193F"/>
    <w:rsid w:val="00882122"/>
    <w:rsid w:val="008876E6"/>
    <w:rsid w:val="00894A3E"/>
    <w:rsid w:val="0089574C"/>
    <w:rsid w:val="008A197D"/>
    <w:rsid w:val="008B19D8"/>
    <w:rsid w:val="008C05BC"/>
    <w:rsid w:val="008C653A"/>
    <w:rsid w:val="008D227E"/>
    <w:rsid w:val="008F0C5E"/>
    <w:rsid w:val="009035BF"/>
    <w:rsid w:val="00906AC2"/>
    <w:rsid w:val="0091367A"/>
    <w:rsid w:val="00917886"/>
    <w:rsid w:val="009236A5"/>
    <w:rsid w:val="009250D2"/>
    <w:rsid w:val="0092684A"/>
    <w:rsid w:val="00931EA6"/>
    <w:rsid w:val="00935BD5"/>
    <w:rsid w:val="009368CD"/>
    <w:rsid w:val="00941285"/>
    <w:rsid w:val="00943787"/>
    <w:rsid w:val="009459BA"/>
    <w:rsid w:val="009477D6"/>
    <w:rsid w:val="00955559"/>
    <w:rsid w:val="00955C60"/>
    <w:rsid w:val="00960273"/>
    <w:rsid w:val="0096491F"/>
    <w:rsid w:val="009673EA"/>
    <w:rsid w:val="0097243D"/>
    <w:rsid w:val="009847FD"/>
    <w:rsid w:val="0098753C"/>
    <w:rsid w:val="0099575B"/>
    <w:rsid w:val="009A5510"/>
    <w:rsid w:val="009A5700"/>
    <w:rsid w:val="009B3EF4"/>
    <w:rsid w:val="009C6883"/>
    <w:rsid w:val="009C7D5C"/>
    <w:rsid w:val="009E0CB4"/>
    <w:rsid w:val="009E2C1B"/>
    <w:rsid w:val="009F016A"/>
    <w:rsid w:val="009F3F8B"/>
    <w:rsid w:val="00A0355E"/>
    <w:rsid w:val="00A05BC1"/>
    <w:rsid w:val="00A1056D"/>
    <w:rsid w:val="00A13977"/>
    <w:rsid w:val="00A14729"/>
    <w:rsid w:val="00A152C1"/>
    <w:rsid w:val="00A176FD"/>
    <w:rsid w:val="00A22DEE"/>
    <w:rsid w:val="00A2330F"/>
    <w:rsid w:val="00A23774"/>
    <w:rsid w:val="00A239AA"/>
    <w:rsid w:val="00A258CA"/>
    <w:rsid w:val="00A26CAE"/>
    <w:rsid w:val="00A2704C"/>
    <w:rsid w:val="00A2726D"/>
    <w:rsid w:val="00A43714"/>
    <w:rsid w:val="00A45E5D"/>
    <w:rsid w:val="00A461DA"/>
    <w:rsid w:val="00A50E38"/>
    <w:rsid w:val="00A526A7"/>
    <w:rsid w:val="00A541EF"/>
    <w:rsid w:val="00A60BD4"/>
    <w:rsid w:val="00A67379"/>
    <w:rsid w:val="00A8057D"/>
    <w:rsid w:val="00A83691"/>
    <w:rsid w:val="00A849F2"/>
    <w:rsid w:val="00A94F07"/>
    <w:rsid w:val="00AA3A6E"/>
    <w:rsid w:val="00AA77CB"/>
    <w:rsid w:val="00AB6A34"/>
    <w:rsid w:val="00AD074A"/>
    <w:rsid w:val="00AD637B"/>
    <w:rsid w:val="00AD6C78"/>
    <w:rsid w:val="00AE08A3"/>
    <w:rsid w:val="00AE10AA"/>
    <w:rsid w:val="00AE49D4"/>
    <w:rsid w:val="00AF4F8C"/>
    <w:rsid w:val="00B0093F"/>
    <w:rsid w:val="00B0204C"/>
    <w:rsid w:val="00B130CE"/>
    <w:rsid w:val="00B22FFF"/>
    <w:rsid w:val="00B2655D"/>
    <w:rsid w:val="00B369B3"/>
    <w:rsid w:val="00B40FB7"/>
    <w:rsid w:val="00B41598"/>
    <w:rsid w:val="00B46EA2"/>
    <w:rsid w:val="00B55B56"/>
    <w:rsid w:val="00B57088"/>
    <w:rsid w:val="00B6479C"/>
    <w:rsid w:val="00B67444"/>
    <w:rsid w:val="00B86371"/>
    <w:rsid w:val="00B93679"/>
    <w:rsid w:val="00B97F6D"/>
    <w:rsid w:val="00BA2DD5"/>
    <w:rsid w:val="00BA4333"/>
    <w:rsid w:val="00BB0EC6"/>
    <w:rsid w:val="00BB177C"/>
    <w:rsid w:val="00BB34BB"/>
    <w:rsid w:val="00BC1B02"/>
    <w:rsid w:val="00BC6A41"/>
    <w:rsid w:val="00BC77ED"/>
    <w:rsid w:val="00BE298C"/>
    <w:rsid w:val="00BF02E2"/>
    <w:rsid w:val="00BF71AA"/>
    <w:rsid w:val="00C00510"/>
    <w:rsid w:val="00C01D0B"/>
    <w:rsid w:val="00C02CFA"/>
    <w:rsid w:val="00C02EFA"/>
    <w:rsid w:val="00C047B4"/>
    <w:rsid w:val="00C057DC"/>
    <w:rsid w:val="00C0724F"/>
    <w:rsid w:val="00C10436"/>
    <w:rsid w:val="00C13FB5"/>
    <w:rsid w:val="00C14B68"/>
    <w:rsid w:val="00C257DC"/>
    <w:rsid w:val="00C358CC"/>
    <w:rsid w:val="00C43A8A"/>
    <w:rsid w:val="00C54F41"/>
    <w:rsid w:val="00C713DB"/>
    <w:rsid w:val="00C71638"/>
    <w:rsid w:val="00C7412E"/>
    <w:rsid w:val="00C763C9"/>
    <w:rsid w:val="00C80062"/>
    <w:rsid w:val="00C806B7"/>
    <w:rsid w:val="00C8185B"/>
    <w:rsid w:val="00C849ED"/>
    <w:rsid w:val="00C917DF"/>
    <w:rsid w:val="00C94805"/>
    <w:rsid w:val="00CA14E7"/>
    <w:rsid w:val="00CA6383"/>
    <w:rsid w:val="00CB33A1"/>
    <w:rsid w:val="00CC41B0"/>
    <w:rsid w:val="00CC57EE"/>
    <w:rsid w:val="00CC7297"/>
    <w:rsid w:val="00CE24DA"/>
    <w:rsid w:val="00CE4577"/>
    <w:rsid w:val="00CF30EF"/>
    <w:rsid w:val="00D06084"/>
    <w:rsid w:val="00D15F62"/>
    <w:rsid w:val="00D16BC7"/>
    <w:rsid w:val="00D23E24"/>
    <w:rsid w:val="00D27548"/>
    <w:rsid w:val="00D27D01"/>
    <w:rsid w:val="00D474D1"/>
    <w:rsid w:val="00D47C66"/>
    <w:rsid w:val="00D57C37"/>
    <w:rsid w:val="00D62341"/>
    <w:rsid w:val="00D8374C"/>
    <w:rsid w:val="00D92387"/>
    <w:rsid w:val="00D94B16"/>
    <w:rsid w:val="00D97178"/>
    <w:rsid w:val="00D97E36"/>
    <w:rsid w:val="00DA42EF"/>
    <w:rsid w:val="00DB4E64"/>
    <w:rsid w:val="00DB6CD2"/>
    <w:rsid w:val="00DB6E9D"/>
    <w:rsid w:val="00DC08F6"/>
    <w:rsid w:val="00DC5C2B"/>
    <w:rsid w:val="00DC790E"/>
    <w:rsid w:val="00DD0D18"/>
    <w:rsid w:val="00DD70CA"/>
    <w:rsid w:val="00DE0FF9"/>
    <w:rsid w:val="00DE5829"/>
    <w:rsid w:val="00DF0828"/>
    <w:rsid w:val="00E07BFC"/>
    <w:rsid w:val="00E20A5B"/>
    <w:rsid w:val="00E230C3"/>
    <w:rsid w:val="00E26F70"/>
    <w:rsid w:val="00E27AB5"/>
    <w:rsid w:val="00E3651D"/>
    <w:rsid w:val="00E551DF"/>
    <w:rsid w:val="00E61230"/>
    <w:rsid w:val="00E6251F"/>
    <w:rsid w:val="00E91BDC"/>
    <w:rsid w:val="00E91DED"/>
    <w:rsid w:val="00E97B24"/>
    <w:rsid w:val="00EA1993"/>
    <w:rsid w:val="00EA3329"/>
    <w:rsid w:val="00EB0732"/>
    <w:rsid w:val="00EB2C1C"/>
    <w:rsid w:val="00EB3F0C"/>
    <w:rsid w:val="00EB5628"/>
    <w:rsid w:val="00EB60E5"/>
    <w:rsid w:val="00EB756A"/>
    <w:rsid w:val="00EC6200"/>
    <w:rsid w:val="00ED41FB"/>
    <w:rsid w:val="00EE681F"/>
    <w:rsid w:val="00EF4103"/>
    <w:rsid w:val="00F06114"/>
    <w:rsid w:val="00F34D31"/>
    <w:rsid w:val="00F42105"/>
    <w:rsid w:val="00F6283B"/>
    <w:rsid w:val="00F655CF"/>
    <w:rsid w:val="00F71820"/>
    <w:rsid w:val="00F71C1E"/>
    <w:rsid w:val="00F72CB8"/>
    <w:rsid w:val="00F7567C"/>
    <w:rsid w:val="00F85AE9"/>
    <w:rsid w:val="00F9270F"/>
    <w:rsid w:val="00F9640D"/>
    <w:rsid w:val="00F96B27"/>
    <w:rsid w:val="00FA35B2"/>
    <w:rsid w:val="00FA5C3D"/>
    <w:rsid w:val="00FA73DA"/>
    <w:rsid w:val="00FC1547"/>
    <w:rsid w:val="00FC5058"/>
    <w:rsid w:val="00FD1BD0"/>
    <w:rsid w:val="00FD27AC"/>
    <w:rsid w:val="00FD54C7"/>
    <w:rsid w:val="00FE1287"/>
    <w:rsid w:val="00FE1DA0"/>
    <w:rsid w:val="00FE5C87"/>
    <w:rsid w:val="00FF1C81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7ACE"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017ACE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7ACE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17AC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17A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17A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017A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17AC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017ACE"/>
    <w:pPr>
      <w:ind w:left="-851" w:right="-851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1978</Characters>
  <Application>Microsoft Office Word</Application>
  <DocSecurity>0</DocSecurity>
  <Lines>16</Lines>
  <Paragraphs>4</Paragraphs>
  <ScaleCrop>false</ScaleCrop>
  <Company>ČEPS, a. s.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ivana5</dc:creator>
  <cp:keywords/>
  <dc:description/>
  <cp:lastModifiedBy>ivana5</cp:lastModifiedBy>
  <cp:revision>3</cp:revision>
  <dcterms:created xsi:type="dcterms:W3CDTF">2008-07-02T17:12:00Z</dcterms:created>
  <dcterms:modified xsi:type="dcterms:W3CDTF">2008-07-02T17:14:00Z</dcterms:modified>
</cp:coreProperties>
</file>